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930" w:rsidRDefault="00664930" w:rsidP="005E71AD">
      <w:pPr>
        <w:autoSpaceDE w:val="0"/>
        <w:autoSpaceDN w:val="0"/>
        <w:adjustRightInd w:val="0"/>
        <w:jc w:val="center"/>
        <w:rPr>
          <w:b/>
          <w:bCs/>
          <w:sz w:val="24"/>
          <w:szCs w:val="24"/>
          <w:lang w:eastAsia="en-US"/>
        </w:rPr>
      </w:pPr>
      <w:r>
        <w:rPr>
          <w:b/>
          <w:bCs/>
          <w:sz w:val="24"/>
          <w:szCs w:val="24"/>
          <w:lang w:eastAsia="en-US"/>
        </w:rPr>
        <w:t>Zoledronic Acid Hospira 5 mg/100 ml solution for infusion</w:t>
      </w:r>
    </w:p>
    <w:p w:rsidR="00664930" w:rsidRDefault="00664930" w:rsidP="005E71AD">
      <w:pPr>
        <w:autoSpaceDE w:val="0"/>
        <w:autoSpaceDN w:val="0"/>
        <w:adjustRightInd w:val="0"/>
        <w:jc w:val="center"/>
        <w:rPr>
          <w:b/>
          <w:bCs/>
          <w:sz w:val="24"/>
          <w:szCs w:val="24"/>
          <w:lang w:eastAsia="en-US"/>
        </w:rPr>
      </w:pPr>
    </w:p>
    <w:p w:rsidR="00664930" w:rsidRDefault="00664930" w:rsidP="005E71AD">
      <w:pPr>
        <w:autoSpaceDE w:val="0"/>
        <w:autoSpaceDN w:val="0"/>
        <w:adjustRightInd w:val="0"/>
        <w:jc w:val="center"/>
        <w:rPr>
          <w:b/>
          <w:bCs/>
          <w:caps/>
          <w:sz w:val="24"/>
          <w:szCs w:val="24"/>
          <w:lang w:eastAsia="en-US"/>
        </w:rPr>
      </w:pPr>
      <w:r>
        <w:rPr>
          <w:b/>
          <w:bCs/>
          <w:caps/>
          <w:sz w:val="24"/>
          <w:szCs w:val="24"/>
          <w:lang w:eastAsia="en-US"/>
        </w:rPr>
        <w:t>Physician reminder card</w:t>
      </w:r>
    </w:p>
    <w:p w:rsidR="00664930" w:rsidRDefault="00664930" w:rsidP="005E71AD">
      <w:pPr>
        <w:autoSpaceDE w:val="0"/>
        <w:autoSpaceDN w:val="0"/>
        <w:adjustRightInd w:val="0"/>
        <w:rPr>
          <w:b/>
          <w:bCs/>
          <w:lang w:eastAsia="en-US"/>
        </w:rPr>
      </w:pPr>
    </w:p>
    <w:p w:rsidR="00664930" w:rsidRPr="006850D4" w:rsidRDefault="00664930" w:rsidP="00F954C1">
      <w:pPr>
        <w:autoSpaceDE w:val="0"/>
        <w:autoSpaceDN w:val="0"/>
        <w:adjustRightInd w:val="0"/>
        <w:jc w:val="both"/>
        <w:rPr>
          <w:lang w:eastAsia="en-US"/>
        </w:rPr>
      </w:pPr>
      <w:r w:rsidRPr="006850D4">
        <w:rPr>
          <w:lang w:eastAsia="en-US"/>
        </w:rPr>
        <w:t>This document aims to help you prescribe Zoledronic Acid Hospira 5 mg/100 ml</w:t>
      </w:r>
      <w:r>
        <w:rPr>
          <w:lang w:eastAsia="en-US"/>
        </w:rPr>
        <w:t xml:space="preserve"> for patients with osteoporosis</w:t>
      </w:r>
      <w:r w:rsidRPr="00BB65FC">
        <w:rPr>
          <w:lang w:eastAsia="en-US"/>
        </w:rPr>
        <w:t>. This</w:t>
      </w:r>
      <w:r>
        <w:rPr>
          <w:lang w:eastAsia="en-US"/>
        </w:rPr>
        <w:t xml:space="preserve"> document should be used only as a guide. Please see the Summary of Product Characteristics before prescribing </w:t>
      </w:r>
      <w:r w:rsidRPr="006850D4">
        <w:rPr>
          <w:lang w:eastAsia="en-US"/>
        </w:rPr>
        <w:t>Zoledronic Acid Hospira 5 mg/100 ml</w:t>
      </w:r>
      <w:r>
        <w:rPr>
          <w:lang w:eastAsia="en-US"/>
        </w:rPr>
        <w:t>.</w:t>
      </w:r>
    </w:p>
    <w:p w:rsidR="00664930" w:rsidRDefault="00664930" w:rsidP="00F954C1">
      <w:pPr>
        <w:pBdr>
          <w:bottom w:val="single" w:sz="4" w:space="1" w:color="auto"/>
        </w:pBdr>
        <w:autoSpaceDE w:val="0"/>
        <w:autoSpaceDN w:val="0"/>
        <w:adjustRightInd w:val="0"/>
        <w:rPr>
          <w:b/>
          <w:bCs/>
          <w:lang w:eastAsia="en-US"/>
        </w:rPr>
      </w:pPr>
    </w:p>
    <w:p w:rsidR="00664930" w:rsidRDefault="00664930" w:rsidP="00F954C1">
      <w:pPr>
        <w:autoSpaceDE w:val="0"/>
        <w:autoSpaceDN w:val="0"/>
        <w:adjustRightInd w:val="0"/>
        <w:rPr>
          <w:b/>
          <w:bCs/>
          <w:lang w:eastAsia="en-US"/>
        </w:rPr>
      </w:pPr>
      <w:bookmarkStart w:id="0" w:name="_GoBack"/>
      <w:bookmarkEnd w:id="0"/>
    </w:p>
    <w:p w:rsidR="00664930" w:rsidRDefault="00664930" w:rsidP="00F03A9C">
      <w:pPr>
        <w:autoSpaceDE w:val="0"/>
        <w:autoSpaceDN w:val="0"/>
        <w:adjustRightInd w:val="0"/>
        <w:jc w:val="both"/>
        <w:rPr>
          <w:lang w:eastAsia="en-US"/>
        </w:rPr>
      </w:pPr>
      <w:r w:rsidRPr="006850D4">
        <w:rPr>
          <w:lang w:eastAsia="en-US"/>
        </w:rPr>
        <w:t>Zoledronic Acid Hospira 5 mg/100 ml</w:t>
      </w:r>
      <w:r>
        <w:rPr>
          <w:lang w:eastAsia="en-US"/>
        </w:rPr>
        <w:t xml:space="preserve"> is approved for the following therapeutic indications: </w:t>
      </w:r>
    </w:p>
    <w:p w:rsidR="00664930" w:rsidRDefault="00664930" w:rsidP="007D23CD">
      <w:pPr>
        <w:autoSpaceDE w:val="0"/>
        <w:autoSpaceDN w:val="0"/>
        <w:adjustRightInd w:val="0"/>
        <w:jc w:val="both"/>
        <w:rPr>
          <w:lang w:eastAsia="en-US"/>
        </w:rPr>
      </w:pPr>
    </w:p>
    <w:p w:rsidR="00664930" w:rsidRPr="00501C14" w:rsidRDefault="00664930" w:rsidP="00BB65FC">
      <w:pPr>
        <w:numPr>
          <w:ilvl w:val="0"/>
          <w:numId w:val="8"/>
        </w:numPr>
        <w:autoSpaceDE w:val="0"/>
        <w:autoSpaceDN w:val="0"/>
        <w:adjustRightInd w:val="0"/>
        <w:jc w:val="both"/>
        <w:rPr>
          <w:lang w:eastAsia="en-US"/>
        </w:rPr>
      </w:pPr>
      <w:r>
        <w:rPr>
          <w:lang w:eastAsia="en-US"/>
        </w:rPr>
        <w:t xml:space="preserve">Treatment of </w:t>
      </w:r>
      <w:r w:rsidRPr="00501C14">
        <w:rPr>
          <w:lang w:eastAsia="en-US"/>
        </w:rPr>
        <w:t>osteoporosis in post-menopausal women</w:t>
      </w:r>
      <w:r>
        <w:rPr>
          <w:lang w:eastAsia="en-US"/>
        </w:rPr>
        <w:t xml:space="preserve"> and </w:t>
      </w:r>
      <w:r w:rsidRPr="00501C14">
        <w:rPr>
          <w:lang w:eastAsia="en-US"/>
        </w:rPr>
        <w:t>in men</w:t>
      </w:r>
      <w:r>
        <w:rPr>
          <w:lang w:eastAsia="en-US"/>
        </w:rPr>
        <w:t xml:space="preserve"> </w:t>
      </w:r>
      <w:r w:rsidRPr="00501C14">
        <w:rPr>
          <w:lang w:eastAsia="en-US"/>
        </w:rPr>
        <w:t xml:space="preserve">at increased risk of fracture, including those with a recent low-trauma hip fracture. </w:t>
      </w:r>
    </w:p>
    <w:p w:rsidR="00664930" w:rsidRPr="00501C14" w:rsidRDefault="00664930" w:rsidP="007D23CD">
      <w:pPr>
        <w:autoSpaceDE w:val="0"/>
        <w:autoSpaceDN w:val="0"/>
        <w:adjustRightInd w:val="0"/>
        <w:ind w:left="720"/>
        <w:jc w:val="both"/>
        <w:rPr>
          <w:lang w:eastAsia="en-US"/>
        </w:rPr>
      </w:pPr>
    </w:p>
    <w:p w:rsidR="00664930" w:rsidRPr="00501C14" w:rsidRDefault="00664930" w:rsidP="00BB65FC">
      <w:pPr>
        <w:numPr>
          <w:ilvl w:val="0"/>
          <w:numId w:val="8"/>
        </w:numPr>
        <w:autoSpaceDE w:val="0"/>
        <w:autoSpaceDN w:val="0"/>
        <w:adjustRightInd w:val="0"/>
        <w:jc w:val="both"/>
        <w:rPr>
          <w:lang w:eastAsia="en-US"/>
        </w:rPr>
      </w:pPr>
      <w:r w:rsidRPr="00501C14">
        <w:rPr>
          <w:lang w:eastAsia="en-US"/>
        </w:rPr>
        <w:t>Treatment of osteoporosis associated with long-term systemic glucocorticoid therapy in post-menopausal women</w:t>
      </w:r>
      <w:r>
        <w:rPr>
          <w:lang w:eastAsia="en-US"/>
        </w:rPr>
        <w:t xml:space="preserve"> and </w:t>
      </w:r>
      <w:r w:rsidRPr="00501C14">
        <w:rPr>
          <w:lang w:eastAsia="en-US"/>
        </w:rPr>
        <w:t>in men</w:t>
      </w:r>
      <w:r>
        <w:rPr>
          <w:lang w:eastAsia="en-US"/>
        </w:rPr>
        <w:t xml:space="preserve"> </w:t>
      </w:r>
      <w:r w:rsidRPr="00501C14">
        <w:rPr>
          <w:lang w:eastAsia="en-US"/>
        </w:rPr>
        <w:t xml:space="preserve">at increased risk of fracture. </w:t>
      </w:r>
    </w:p>
    <w:p w:rsidR="00664930" w:rsidRDefault="00664930" w:rsidP="007D23CD">
      <w:pPr>
        <w:autoSpaceDE w:val="0"/>
        <w:autoSpaceDN w:val="0"/>
        <w:adjustRightInd w:val="0"/>
        <w:jc w:val="both"/>
        <w:rPr>
          <w:lang w:eastAsia="en-US"/>
        </w:rPr>
      </w:pPr>
    </w:p>
    <w:p w:rsidR="00664930" w:rsidRPr="00BB65FC" w:rsidRDefault="00664930" w:rsidP="007D23CD">
      <w:pPr>
        <w:autoSpaceDE w:val="0"/>
        <w:autoSpaceDN w:val="0"/>
        <w:adjustRightInd w:val="0"/>
        <w:jc w:val="both"/>
        <w:rPr>
          <w:lang w:eastAsia="en-US"/>
        </w:rPr>
      </w:pPr>
      <w:r w:rsidRPr="00BB65FC">
        <w:rPr>
          <w:lang w:eastAsia="en-US"/>
        </w:rPr>
        <w:t>The administration of Zoledronic Acid may compromise renal function, especially in patients with pre-existing renal dysfunction or other risks, including advanced age, concomitant use of nephrotoxic drugs, diuretic therapy, or dehydration that occurs after administration of Zoledronic Acid.</w:t>
      </w:r>
    </w:p>
    <w:p w:rsidR="00664930" w:rsidRDefault="00664930" w:rsidP="007D23CD">
      <w:pPr>
        <w:autoSpaceDE w:val="0"/>
        <w:autoSpaceDN w:val="0"/>
        <w:adjustRightInd w:val="0"/>
        <w:jc w:val="both"/>
        <w:rPr>
          <w:lang w:eastAsia="en-US"/>
        </w:rPr>
      </w:pPr>
    </w:p>
    <w:p w:rsidR="00664930" w:rsidRPr="00501C14" w:rsidRDefault="00664930" w:rsidP="007D23CD">
      <w:pPr>
        <w:autoSpaceDE w:val="0"/>
        <w:autoSpaceDN w:val="0"/>
        <w:adjustRightInd w:val="0"/>
        <w:jc w:val="both"/>
        <w:rPr>
          <w:lang w:eastAsia="en-US"/>
        </w:rPr>
      </w:pPr>
      <w:r>
        <w:rPr>
          <w:lang w:eastAsia="en-US"/>
        </w:rPr>
        <w:t xml:space="preserve">For this </w:t>
      </w:r>
      <w:proofErr w:type="gramStart"/>
      <w:r>
        <w:rPr>
          <w:lang w:eastAsia="en-US"/>
        </w:rPr>
        <w:t>reason</w:t>
      </w:r>
      <w:proofErr w:type="gramEnd"/>
      <w:r>
        <w:rPr>
          <w:lang w:eastAsia="en-US"/>
        </w:rPr>
        <w:t xml:space="preserve"> the following precautions are recommended in order to minimize the risk of adverse reactions:</w:t>
      </w:r>
    </w:p>
    <w:p w:rsidR="00664930" w:rsidRDefault="00664930" w:rsidP="005E71AD">
      <w:pPr>
        <w:autoSpaceDE w:val="0"/>
        <w:autoSpaceDN w:val="0"/>
        <w:adjustRightInd w:val="0"/>
        <w:rPr>
          <w:b/>
          <w:bCs/>
          <w:lang w:eastAsia="en-US"/>
        </w:rPr>
      </w:pPr>
    </w:p>
    <w:p w:rsidR="00664930" w:rsidRDefault="00664930" w:rsidP="00A070C0">
      <w:pPr>
        <w:pStyle w:val="BodytextAgency"/>
        <w:numPr>
          <w:ilvl w:val="0"/>
          <w:numId w:val="1"/>
        </w:numPr>
        <w:spacing w:line="200" w:lineRule="atLeast"/>
        <w:ind w:left="426" w:hanging="426"/>
        <w:jc w:val="both"/>
        <w:rPr>
          <w:rFonts w:ascii="Calibri" w:hAnsi="Calibri" w:cs="Calibri"/>
        </w:rPr>
      </w:pPr>
      <w:r>
        <w:rPr>
          <w:rFonts w:ascii="Calibri" w:hAnsi="Calibri" w:cs="Calibri"/>
        </w:rPr>
        <w:t>Zoledronic Acid Hospira 5 mg/100 ml should not be used in patients with creatinine clearance &lt;35 ml/min.</w:t>
      </w:r>
    </w:p>
    <w:p w:rsidR="00664930" w:rsidRDefault="00664930" w:rsidP="00A070C0">
      <w:pPr>
        <w:pStyle w:val="BodytextAgency"/>
        <w:numPr>
          <w:ilvl w:val="0"/>
          <w:numId w:val="1"/>
        </w:numPr>
        <w:spacing w:line="200" w:lineRule="atLeast"/>
        <w:ind w:left="426" w:hanging="426"/>
        <w:jc w:val="both"/>
        <w:rPr>
          <w:rFonts w:ascii="Calibri" w:hAnsi="Calibri" w:cs="Calibri"/>
        </w:rPr>
      </w:pPr>
      <w:r>
        <w:rPr>
          <w:rFonts w:ascii="Calibri" w:hAnsi="Calibri" w:cs="Calibri"/>
        </w:rPr>
        <w:t xml:space="preserve">Confirm each patient’s serum creatinine before each treatment with Zoledronic Acid Hospira 5 mg/100 ml to ensure the creatinine clearance is </w:t>
      </w:r>
      <w:r>
        <w:rPr>
          <w:rFonts w:ascii="Calibri" w:hAnsi="Calibri" w:cs="Calibri"/>
          <w:u w:val="single"/>
        </w:rPr>
        <w:t>&gt;</w:t>
      </w:r>
      <w:r>
        <w:rPr>
          <w:rFonts w:ascii="Calibri" w:hAnsi="Calibri" w:cs="Calibri"/>
        </w:rPr>
        <w:t>35 ml/min.</w:t>
      </w:r>
    </w:p>
    <w:p w:rsidR="00664930" w:rsidRDefault="00664930" w:rsidP="004D746A">
      <w:pPr>
        <w:pStyle w:val="BodytextAgency"/>
        <w:numPr>
          <w:ilvl w:val="0"/>
          <w:numId w:val="1"/>
        </w:numPr>
        <w:spacing w:line="200" w:lineRule="atLeast"/>
        <w:ind w:left="426" w:hanging="426"/>
        <w:jc w:val="both"/>
        <w:rPr>
          <w:rFonts w:ascii="Calibri" w:hAnsi="Calibri" w:cs="Calibri"/>
        </w:rPr>
      </w:pPr>
      <w:r>
        <w:rPr>
          <w:rFonts w:ascii="Calibri" w:hAnsi="Calibri" w:cs="Calibri"/>
        </w:rPr>
        <w:t>Instruct patients to drink fluids, such as water, within a few hours prior to treatment to ensure adequate hydration. This is especially important in the elderly and for patients receiving diuretic therapy</w:t>
      </w:r>
      <w:r w:rsidRPr="00B46741">
        <w:rPr>
          <w:rFonts w:ascii="Calibri" w:hAnsi="Calibri" w:cs="Calibri"/>
        </w:rPr>
        <w:t xml:space="preserve">. </w:t>
      </w:r>
    </w:p>
    <w:p w:rsidR="00664930" w:rsidRPr="004D746A" w:rsidRDefault="00664930" w:rsidP="004D746A">
      <w:pPr>
        <w:pStyle w:val="BodytextAgency"/>
        <w:numPr>
          <w:ilvl w:val="0"/>
          <w:numId w:val="1"/>
        </w:numPr>
        <w:spacing w:line="200" w:lineRule="atLeast"/>
        <w:ind w:left="426" w:hanging="426"/>
        <w:jc w:val="both"/>
        <w:rPr>
          <w:rFonts w:ascii="Calibri" w:hAnsi="Calibri" w:cs="Calibri"/>
        </w:rPr>
      </w:pPr>
      <w:r w:rsidRPr="004D746A">
        <w:rPr>
          <w:rFonts w:ascii="Calibri" w:hAnsi="Calibri" w:cs="Calibri"/>
        </w:rPr>
        <w:t>Zoledronic Acid Hospira 5 mg/100 ml should be used with caution when concomitantly used with other medicinal products that could impact renal function</w:t>
      </w:r>
      <w:r>
        <w:rPr>
          <w:rFonts w:ascii="Calibri" w:hAnsi="Calibri" w:cs="Calibri"/>
        </w:rPr>
        <w:t>.</w:t>
      </w:r>
      <w:r w:rsidRPr="004D746A">
        <w:rPr>
          <w:rFonts w:ascii="Calibri" w:hAnsi="Calibri" w:cs="Calibri"/>
        </w:rPr>
        <w:t xml:space="preserve"> </w:t>
      </w:r>
    </w:p>
    <w:p w:rsidR="00664930" w:rsidRPr="00262132" w:rsidRDefault="00664930" w:rsidP="004D746A">
      <w:pPr>
        <w:pStyle w:val="BodytextAgency"/>
        <w:numPr>
          <w:ilvl w:val="0"/>
          <w:numId w:val="1"/>
        </w:numPr>
        <w:spacing w:line="200" w:lineRule="atLeast"/>
        <w:ind w:left="426" w:hanging="426"/>
        <w:jc w:val="both"/>
        <w:rPr>
          <w:rFonts w:ascii="Calibri" w:hAnsi="Calibri" w:cs="Calibri"/>
        </w:rPr>
      </w:pPr>
      <w:r w:rsidRPr="00B46741">
        <w:rPr>
          <w:rFonts w:ascii="Calibri" w:hAnsi="Calibri" w:cs="Calibri"/>
        </w:rPr>
        <w:t>Zoledronic Acid Hospira 5 mg/100 ml should be infused slowly and at a constant rate over a period of n</w:t>
      </w:r>
      <w:r>
        <w:rPr>
          <w:rFonts w:ascii="Calibri" w:hAnsi="Calibri" w:cs="Calibri"/>
        </w:rPr>
        <w:t>o less than 15 minutes.</w:t>
      </w:r>
    </w:p>
    <w:p w:rsidR="00664930" w:rsidRDefault="00664930" w:rsidP="00A070C0">
      <w:pPr>
        <w:pStyle w:val="BodytextAgency"/>
        <w:numPr>
          <w:ilvl w:val="0"/>
          <w:numId w:val="1"/>
        </w:numPr>
        <w:spacing w:line="200" w:lineRule="atLeast"/>
        <w:ind w:left="426" w:hanging="426"/>
        <w:jc w:val="both"/>
        <w:rPr>
          <w:rFonts w:ascii="Calibri" w:hAnsi="Calibri" w:cs="Calibri"/>
        </w:rPr>
      </w:pPr>
      <w:r>
        <w:rPr>
          <w:rFonts w:ascii="Calibri" w:hAnsi="Calibri" w:cs="Calibri"/>
        </w:rPr>
        <w:t>Zoledronic Acid Hospira 5 mg/100 ml is contraindicated in pregnancy and during breast-feeding.</w:t>
      </w:r>
    </w:p>
    <w:p w:rsidR="00664930" w:rsidRDefault="00664930" w:rsidP="00A070C0">
      <w:pPr>
        <w:pStyle w:val="ListParagraph"/>
        <w:autoSpaceDE w:val="0"/>
        <w:autoSpaceDN w:val="0"/>
        <w:adjustRightInd w:val="0"/>
        <w:ind w:left="426" w:hanging="426"/>
        <w:jc w:val="both"/>
        <w:rPr>
          <w:lang w:eastAsia="en-US"/>
        </w:rPr>
      </w:pPr>
      <w:r>
        <w:rPr>
          <w:lang w:eastAsia="en-US"/>
        </w:rPr>
        <w:tab/>
        <w:t xml:space="preserve">There are no adequate data on the use of zoledronic acid in pregnant women. Studies in animals with zoledronic acid have shown reproductive toxicological effects including malformations. The potential risk for humans is unknown. It is not known whether zoledronic acid is excreted into human breast milk. </w:t>
      </w:r>
    </w:p>
    <w:p w:rsidR="00664930" w:rsidRDefault="00664930" w:rsidP="00A070C0">
      <w:pPr>
        <w:pStyle w:val="ListParagraph"/>
        <w:autoSpaceDE w:val="0"/>
        <w:autoSpaceDN w:val="0"/>
        <w:adjustRightInd w:val="0"/>
        <w:ind w:left="426" w:hanging="426"/>
        <w:jc w:val="both"/>
        <w:rPr>
          <w:lang w:eastAsia="en-US"/>
        </w:rPr>
      </w:pPr>
    </w:p>
    <w:p w:rsidR="00664930" w:rsidRDefault="00664930" w:rsidP="00A070C0">
      <w:pPr>
        <w:pStyle w:val="ListParagraph"/>
        <w:numPr>
          <w:ilvl w:val="0"/>
          <w:numId w:val="2"/>
        </w:numPr>
        <w:autoSpaceDE w:val="0"/>
        <w:autoSpaceDN w:val="0"/>
        <w:adjustRightInd w:val="0"/>
        <w:ind w:left="354"/>
        <w:jc w:val="both"/>
        <w:rPr>
          <w:lang w:eastAsia="en-US"/>
        </w:rPr>
      </w:pPr>
      <w:r w:rsidRPr="00B46741">
        <w:rPr>
          <w:lang w:eastAsia="en-US"/>
        </w:rPr>
        <w:lastRenderedPageBreak/>
        <w:t xml:space="preserve">Zoledronic Acid </w:t>
      </w:r>
      <w:r w:rsidRPr="00B46741">
        <w:t>Hospira 5 mg/100 ml</w:t>
      </w:r>
      <w:r w:rsidRPr="00B46741">
        <w:rPr>
          <w:lang w:eastAsia="en-US"/>
        </w:rPr>
        <w:t xml:space="preserve"> </w:t>
      </w:r>
      <w:r>
        <w:rPr>
          <w:lang w:eastAsia="en-US"/>
        </w:rPr>
        <w:t xml:space="preserve">is </w:t>
      </w:r>
      <w:r w:rsidRPr="00B46741">
        <w:rPr>
          <w:lang w:eastAsia="en-US"/>
        </w:rPr>
        <w:t>administered as a single intravenous infusion once a year for the treatment of post-menopausal osteoporosis, osteoporosis in men and the treatment of osteoporosis associated with long-term systemic glucocorticoid therapy.</w:t>
      </w:r>
    </w:p>
    <w:p w:rsidR="00664930" w:rsidRPr="00F30A85" w:rsidRDefault="00664930" w:rsidP="00F30A85">
      <w:pPr>
        <w:pStyle w:val="ListParagraph"/>
        <w:autoSpaceDE w:val="0"/>
        <w:autoSpaceDN w:val="0"/>
        <w:adjustRightInd w:val="0"/>
        <w:ind w:left="354"/>
        <w:jc w:val="both"/>
        <w:rPr>
          <w:lang w:val="en-US" w:eastAsia="en-US"/>
        </w:rPr>
      </w:pPr>
    </w:p>
    <w:p w:rsidR="00664930" w:rsidRDefault="00664930" w:rsidP="00A070C0">
      <w:pPr>
        <w:pStyle w:val="ListParagraph"/>
        <w:numPr>
          <w:ilvl w:val="0"/>
          <w:numId w:val="2"/>
        </w:numPr>
        <w:autoSpaceDE w:val="0"/>
        <w:autoSpaceDN w:val="0"/>
        <w:adjustRightInd w:val="0"/>
        <w:ind w:left="354"/>
        <w:jc w:val="both"/>
        <w:rPr>
          <w:lang w:val="en-US" w:eastAsia="en-US"/>
        </w:rPr>
      </w:pPr>
      <w:r>
        <w:t>Patients must receive adequate calcium and vitamin D intake in association with Zoledronic Acid Hospira 5 mg/100 ml administration.</w:t>
      </w:r>
    </w:p>
    <w:p w:rsidR="00664930" w:rsidRDefault="00664930" w:rsidP="00A070C0">
      <w:pPr>
        <w:pStyle w:val="ListParagraph"/>
        <w:jc w:val="both"/>
        <w:rPr>
          <w:lang w:eastAsia="en-US"/>
        </w:rPr>
      </w:pPr>
    </w:p>
    <w:p w:rsidR="00664930" w:rsidRDefault="00664930" w:rsidP="00A070C0">
      <w:pPr>
        <w:pStyle w:val="ListParagraph"/>
        <w:numPr>
          <w:ilvl w:val="0"/>
          <w:numId w:val="2"/>
        </w:numPr>
        <w:autoSpaceDE w:val="0"/>
        <w:autoSpaceDN w:val="0"/>
        <w:adjustRightInd w:val="0"/>
        <w:ind w:left="354"/>
        <w:jc w:val="both"/>
        <w:rPr>
          <w:lang w:eastAsia="en-US"/>
        </w:rPr>
      </w:pPr>
      <w:r>
        <w:rPr>
          <w:lang w:eastAsia="en-US"/>
        </w:rPr>
        <w:t xml:space="preserve">Patients should be instructed on the importance of appropriate diet and lifestyle, including a </w:t>
      </w:r>
      <w:proofErr w:type="spellStart"/>
      <w:proofErr w:type="gramStart"/>
      <w:r>
        <w:rPr>
          <w:lang w:eastAsia="en-US"/>
        </w:rPr>
        <w:t>well balanced</w:t>
      </w:r>
      <w:proofErr w:type="spellEnd"/>
      <w:proofErr w:type="gramEnd"/>
      <w:r>
        <w:rPr>
          <w:lang w:eastAsia="en-US"/>
        </w:rPr>
        <w:t xml:space="preserve"> diet with adequate calcium-rich foods, regular weight-bearing exercise, avoidance of smoking and keeping alcohol consumption within recommended limits.</w:t>
      </w:r>
    </w:p>
    <w:p w:rsidR="00664930" w:rsidRDefault="00664930" w:rsidP="00A070C0">
      <w:pPr>
        <w:jc w:val="both"/>
        <w:rPr>
          <w:b/>
          <w:bCs/>
          <w:u w:val="single"/>
        </w:rPr>
      </w:pPr>
    </w:p>
    <w:p w:rsidR="00664930" w:rsidRDefault="00664930" w:rsidP="00A070C0">
      <w:pPr>
        <w:jc w:val="both"/>
        <w:rPr>
          <w:b/>
          <w:bCs/>
          <w:u w:val="single"/>
        </w:rPr>
      </w:pPr>
    </w:p>
    <w:p w:rsidR="00664930" w:rsidRPr="00BE0F0F" w:rsidRDefault="00664930" w:rsidP="00A070C0">
      <w:pPr>
        <w:jc w:val="both"/>
      </w:pPr>
      <w:r w:rsidRPr="00BE0F0F">
        <w:t xml:space="preserve">For </w:t>
      </w:r>
      <w:r>
        <w:t xml:space="preserve">further information please consult the Summary of Product Characteristics (SmPC) or </w:t>
      </w:r>
      <w:r w:rsidRPr="00E20DED">
        <w:t xml:space="preserve">European Public Assessment Report </w:t>
      </w:r>
      <w:r>
        <w:rPr>
          <w:rFonts w:ascii="Arial" w:hAnsi="Arial" w:cs="Arial"/>
          <w:sz w:val="20"/>
          <w:szCs w:val="20"/>
        </w:rPr>
        <w:t>(</w:t>
      </w:r>
      <w:r>
        <w:t xml:space="preserve">EPAR) at </w:t>
      </w:r>
      <w:hyperlink r:id="rId7" w:history="1">
        <w:r w:rsidRPr="00AB10A5">
          <w:rPr>
            <w:rStyle w:val="Hyperlink"/>
            <w:rFonts w:ascii="Arial" w:hAnsi="Arial" w:cs="Arial"/>
            <w:sz w:val="20"/>
            <w:szCs w:val="20"/>
          </w:rPr>
          <w:t>http://www.ema.europa.eu/ema/</w:t>
        </w:r>
      </w:hyperlink>
    </w:p>
    <w:p w:rsidR="00664930" w:rsidRDefault="00664930" w:rsidP="00A070C0">
      <w:pPr>
        <w:jc w:val="both"/>
        <w:rPr>
          <w:b/>
          <w:bCs/>
          <w:u w:val="single"/>
        </w:rPr>
      </w:pPr>
    </w:p>
    <w:p w:rsidR="00664930" w:rsidRDefault="00E54695" w:rsidP="00A070C0">
      <w:pPr>
        <w:jc w:val="both"/>
        <w:rPr>
          <w:b/>
          <w:bCs/>
          <w:u w:val="single"/>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85pt;margin-top:12.5pt;width:472.1pt;height:72.35pt;z-index:251657728">
            <v:textbox>
              <w:txbxContent>
                <w:p w:rsidR="00C070D2" w:rsidRDefault="00664930" w:rsidP="009957B7">
                  <w:pPr>
                    <w:rPr>
                      <w:rFonts w:ascii="Arial" w:hAnsi="Arial" w:cs="Arial"/>
                      <w:b/>
                      <w:bCs/>
                    </w:rPr>
                  </w:pPr>
                  <w:r>
                    <w:rPr>
                      <w:rFonts w:ascii="Arial" w:hAnsi="Arial" w:cs="Arial"/>
                      <w:b/>
                      <w:bCs/>
                    </w:rPr>
                    <w:t xml:space="preserve">Adverse events should be reported. Reporting forms and information can be found at </w:t>
                  </w:r>
                  <w:hyperlink r:id="rId8" w:history="1">
                    <w:r w:rsidRPr="00A2433A">
                      <w:rPr>
                        <w:rStyle w:val="Hyperlink"/>
                      </w:rPr>
                      <w:t>http://medicinesauthority.gov.mt/file.aspx?f=440</w:t>
                    </w:r>
                  </w:hyperlink>
                  <w:r>
                    <w:rPr>
                      <w:rFonts w:ascii="Arial" w:hAnsi="Arial" w:cs="Arial"/>
                      <w:b/>
                      <w:bCs/>
                    </w:rPr>
                    <w:t xml:space="preserve">. Adverse events should also be reported to Hospira’s Malta representative – </w:t>
                  </w:r>
                  <w:proofErr w:type="spellStart"/>
                  <w:r>
                    <w:rPr>
                      <w:rFonts w:ascii="Arial" w:hAnsi="Arial" w:cs="Arial"/>
                      <w:b/>
                      <w:bCs/>
                    </w:rPr>
                    <w:t>Drugsales</w:t>
                  </w:r>
                  <w:proofErr w:type="spellEnd"/>
                  <w:r>
                    <w:rPr>
                      <w:rFonts w:ascii="Arial" w:hAnsi="Arial" w:cs="Arial"/>
                      <w:b/>
                      <w:bCs/>
                    </w:rPr>
                    <w:t xml:space="preserve"> Ltd. Telephone: </w:t>
                  </w:r>
                  <w:r w:rsidRPr="00A2433A">
                    <w:rPr>
                      <w:rFonts w:ascii="Arial" w:hAnsi="Arial" w:cs="Arial"/>
                      <w:b/>
                      <w:bCs/>
                    </w:rPr>
                    <w:t>+356 21 419 070/1/2</w:t>
                  </w:r>
                  <w:r>
                    <w:rPr>
                      <w:rFonts w:ascii="Arial" w:hAnsi="Arial" w:cs="Arial"/>
                      <w:b/>
                      <w:bCs/>
                    </w:rPr>
                    <w:t xml:space="preserve"> or E</w:t>
                  </w:r>
                  <w:r w:rsidRPr="00A2433A">
                    <w:rPr>
                      <w:rFonts w:ascii="Arial" w:hAnsi="Arial" w:cs="Arial"/>
                      <w:b/>
                      <w:bCs/>
                    </w:rPr>
                    <w:t xml:space="preserve">mail: </w:t>
                  </w:r>
                  <w:hyperlink r:id="rId9" w:history="1">
                    <w:r w:rsidRPr="00A2433A">
                      <w:rPr>
                        <w:rStyle w:val="Hyperlink"/>
                        <w:rFonts w:ascii="Arial" w:hAnsi="Arial" w:cs="Arial"/>
                        <w:b/>
                        <w:bCs/>
                      </w:rPr>
                      <w:t>abusuttil@drugsalesltd.com</w:t>
                    </w:r>
                  </w:hyperlink>
                </w:p>
                <w:p w:rsidR="00664930" w:rsidRDefault="00664930" w:rsidP="004D2A18">
                  <w:pPr>
                    <w:jc w:val="center"/>
                  </w:pPr>
                </w:p>
              </w:txbxContent>
            </v:textbox>
          </v:shape>
        </w:pict>
      </w:r>
    </w:p>
    <w:p w:rsidR="00664930" w:rsidRDefault="00664930" w:rsidP="004D2A18">
      <w:pPr>
        <w:ind w:left="720"/>
        <w:jc w:val="both"/>
        <w:rPr>
          <w:b/>
          <w:bCs/>
          <w:u w:val="single"/>
        </w:rPr>
      </w:pPr>
    </w:p>
    <w:p w:rsidR="00664930" w:rsidRDefault="00664930" w:rsidP="003A642B">
      <w:pPr>
        <w:spacing w:after="200" w:line="276" w:lineRule="auto"/>
        <w:jc w:val="center"/>
      </w:pPr>
      <w:r>
        <w:t xml:space="preserve"> </w:t>
      </w:r>
    </w:p>
    <w:p w:rsidR="00664930" w:rsidRDefault="00664930"/>
    <w:sectPr w:rsidR="00664930" w:rsidSect="00665B2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6F8" w:rsidRDefault="002406F8" w:rsidP="00021AD6">
      <w:r>
        <w:separator/>
      </w:r>
    </w:p>
  </w:endnote>
  <w:endnote w:type="continuationSeparator" w:id="0">
    <w:p w:rsidR="002406F8" w:rsidRDefault="002406F8" w:rsidP="0002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930" w:rsidRDefault="00664930">
    <w:pPr>
      <w:pStyle w:val="Footer"/>
    </w:pPr>
  </w:p>
  <w:p w:rsidR="00664930" w:rsidRDefault="00664930">
    <w:pPr>
      <w:pStyle w:val="Footer"/>
    </w:pPr>
  </w:p>
  <w:p w:rsidR="00664930" w:rsidRDefault="00664930">
    <w:pPr>
      <w:pStyle w:val="Footer"/>
    </w:pPr>
  </w:p>
  <w:p w:rsidR="00664930" w:rsidRDefault="00664930">
    <w:pPr>
      <w:pStyle w:val="Footer"/>
    </w:pPr>
  </w:p>
  <w:p w:rsidR="00664930" w:rsidRPr="00F47102" w:rsidRDefault="00664930">
    <w:pPr>
      <w:pStyle w:val="Footer"/>
      <w:rPr>
        <w:sz w:val="18"/>
        <w:szCs w:val="18"/>
      </w:rPr>
    </w:pPr>
    <w:r w:rsidRPr="00F47102">
      <w:rPr>
        <w:sz w:val="18"/>
        <w:szCs w:val="18"/>
      </w:rPr>
      <w:t xml:space="preserve">EMEA/12/281 </w:t>
    </w:r>
    <w:r>
      <w:rPr>
        <w:sz w:val="18"/>
        <w:szCs w:val="18"/>
      </w:rPr>
      <w:t>April 2013</w:t>
    </w:r>
  </w:p>
  <w:p w:rsidR="00664930" w:rsidRDefault="0066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6F8" w:rsidRDefault="002406F8" w:rsidP="00021AD6">
      <w:r>
        <w:separator/>
      </w:r>
    </w:p>
  </w:footnote>
  <w:footnote w:type="continuationSeparator" w:id="0">
    <w:p w:rsidR="002406F8" w:rsidRDefault="002406F8" w:rsidP="00021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50F"/>
    <w:multiLevelType w:val="hybridMultilevel"/>
    <w:tmpl w:val="66007488"/>
    <w:lvl w:ilvl="0" w:tplc="08090001">
      <w:start w:val="1"/>
      <w:numFmt w:val="bullet"/>
      <w:lvlText w:val=""/>
      <w:lvlJc w:val="left"/>
      <w:pPr>
        <w:ind w:left="36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D51B74"/>
    <w:multiLevelType w:val="hybridMultilevel"/>
    <w:tmpl w:val="BDF020FE"/>
    <w:lvl w:ilvl="0" w:tplc="08090001">
      <w:start w:val="1"/>
      <w:numFmt w:val="bullet"/>
      <w:lvlText w:val=""/>
      <w:lvlJc w:val="left"/>
      <w:pPr>
        <w:ind w:left="324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9875CF1"/>
    <w:multiLevelType w:val="hybridMultilevel"/>
    <w:tmpl w:val="A5F05054"/>
    <w:lvl w:ilvl="0" w:tplc="08090001">
      <w:start w:val="1"/>
      <w:numFmt w:val="bullet"/>
      <w:lvlText w:val=""/>
      <w:lvlJc w:val="left"/>
      <w:pPr>
        <w:ind w:left="36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B4771BE"/>
    <w:multiLevelType w:val="hybridMultilevel"/>
    <w:tmpl w:val="1AD24E92"/>
    <w:lvl w:ilvl="0" w:tplc="B23E92AA">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34777615"/>
    <w:multiLevelType w:val="hybridMultilevel"/>
    <w:tmpl w:val="A1420830"/>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3625B51"/>
    <w:multiLevelType w:val="hybridMultilevel"/>
    <w:tmpl w:val="ACF4B3D6"/>
    <w:lvl w:ilvl="0" w:tplc="08090003">
      <w:start w:val="1"/>
      <w:numFmt w:val="bullet"/>
      <w:lvlText w:val="o"/>
      <w:lvlJc w:val="left"/>
      <w:pPr>
        <w:ind w:left="36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544C3B7B"/>
    <w:multiLevelType w:val="hybridMultilevel"/>
    <w:tmpl w:val="2C80B39A"/>
    <w:lvl w:ilvl="0" w:tplc="08090001">
      <w:start w:val="1"/>
      <w:numFmt w:val="bullet"/>
      <w:lvlText w:val=""/>
      <w:lvlJc w:val="left"/>
      <w:pPr>
        <w:ind w:left="36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D382671"/>
    <w:multiLevelType w:val="hybridMultilevel"/>
    <w:tmpl w:val="FBB843F2"/>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1AD"/>
    <w:rsid w:val="00021AD6"/>
    <w:rsid w:val="00143D75"/>
    <w:rsid w:val="00191B62"/>
    <w:rsid w:val="002406F8"/>
    <w:rsid w:val="00251D5F"/>
    <w:rsid w:val="00262132"/>
    <w:rsid w:val="0030401D"/>
    <w:rsid w:val="00346842"/>
    <w:rsid w:val="0038064A"/>
    <w:rsid w:val="003923AE"/>
    <w:rsid w:val="003A642B"/>
    <w:rsid w:val="003E4C59"/>
    <w:rsid w:val="003E5875"/>
    <w:rsid w:val="00476F1E"/>
    <w:rsid w:val="004D14CF"/>
    <w:rsid w:val="004D2A18"/>
    <w:rsid w:val="004D746A"/>
    <w:rsid w:val="00501C14"/>
    <w:rsid w:val="00516753"/>
    <w:rsid w:val="00520AC5"/>
    <w:rsid w:val="005E71AD"/>
    <w:rsid w:val="00600486"/>
    <w:rsid w:val="006144EE"/>
    <w:rsid w:val="00624C84"/>
    <w:rsid w:val="00664930"/>
    <w:rsid w:val="00665B25"/>
    <w:rsid w:val="006850D4"/>
    <w:rsid w:val="006C78CB"/>
    <w:rsid w:val="007450D2"/>
    <w:rsid w:val="0076084F"/>
    <w:rsid w:val="007A13B1"/>
    <w:rsid w:val="007B4E55"/>
    <w:rsid w:val="007D23CD"/>
    <w:rsid w:val="007D2FBA"/>
    <w:rsid w:val="00882D77"/>
    <w:rsid w:val="008C1D89"/>
    <w:rsid w:val="00916E8E"/>
    <w:rsid w:val="0093194B"/>
    <w:rsid w:val="00945DD8"/>
    <w:rsid w:val="009957B7"/>
    <w:rsid w:val="009E4EDB"/>
    <w:rsid w:val="009F1162"/>
    <w:rsid w:val="00A070C0"/>
    <w:rsid w:val="00A2433A"/>
    <w:rsid w:val="00A551C9"/>
    <w:rsid w:val="00A577A2"/>
    <w:rsid w:val="00A7585F"/>
    <w:rsid w:val="00AB10A5"/>
    <w:rsid w:val="00AC6034"/>
    <w:rsid w:val="00AD6E2F"/>
    <w:rsid w:val="00AE2180"/>
    <w:rsid w:val="00B21CFB"/>
    <w:rsid w:val="00B46741"/>
    <w:rsid w:val="00BB65FC"/>
    <w:rsid w:val="00BE0F0F"/>
    <w:rsid w:val="00C070D2"/>
    <w:rsid w:val="00C328A8"/>
    <w:rsid w:val="00D022B7"/>
    <w:rsid w:val="00D046E7"/>
    <w:rsid w:val="00D354A0"/>
    <w:rsid w:val="00D51D9E"/>
    <w:rsid w:val="00D900AF"/>
    <w:rsid w:val="00D942B2"/>
    <w:rsid w:val="00DD0BA1"/>
    <w:rsid w:val="00DE1EA2"/>
    <w:rsid w:val="00DF2EB8"/>
    <w:rsid w:val="00E07446"/>
    <w:rsid w:val="00E20A1C"/>
    <w:rsid w:val="00E20DED"/>
    <w:rsid w:val="00E24148"/>
    <w:rsid w:val="00E27803"/>
    <w:rsid w:val="00E504F0"/>
    <w:rsid w:val="00E54695"/>
    <w:rsid w:val="00EB29A5"/>
    <w:rsid w:val="00F03A9C"/>
    <w:rsid w:val="00F30A85"/>
    <w:rsid w:val="00F47102"/>
    <w:rsid w:val="00F629B1"/>
    <w:rsid w:val="00F9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B6E35917-6DC8-4962-A2F0-EC7A9C63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1AD"/>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71AD"/>
    <w:rPr>
      <w:color w:val="0000FF"/>
      <w:u w:val="single"/>
    </w:rPr>
  </w:style>
  <w:style w:type="paragraph" w:styleId="NormalWeb">
    <w:name w:val="Normal (Web)"/>
    <w:basedOn w:val="Normal"/>
    <w:uiPriority w:val="99"/>
    <w:semiHidden/>
    <w:rsid w:val="005E71A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99"/>
    <w:qFormat/>
    <w:rsid w:val="005E71AD"/>
    <w:pPr>
      <w:ind w:left="720"/>
    </w:pPr>
  </w:style>
  <w:style w:type="character" w:customStyle="1" w:styleId="BodytextAgencyChar">
    <w:name w:val="Body text (Agency) Char"/>
    <w:basedOn w:val="DefaultParagraphFont"/>
    <w:link w:val="BodytextAgency"/>
    <w:uiPriority w:val="99"/>
    <w:semiHidden/>
    <w:locked/>
    <w:rsid w:val="005E71AD"/>
    <w:rPr>
      <w:rFonts w:ascii="Verdana" w:hAnsi="Verdana" w:cs="Verdana"/>
    </w:rPr>
  </w:style>
  <w:style w:type="paragraph" w:customStyle="1" w:styleId="BodytextAgency">
    <w:name w:val="Body text (Agency)"/>
    <w:basedOn w:val="Normal"/>
    <w:link w:val="BodytextAgencyChar"/>
    <w:uiPriority w:val="99"/>
    <w:semiHidden/>
    <w:rsid w:val="005E71AD"/>
    <w:pPr>
      <w:spacing w:after="140" w:line="280" w:lineRule="atLeast"/>
    </w:pPr>
    <w:rPr>
      <w:rFonts w:ascii="Verdana" w:hAnsi="Verdana" w:cs="Verdana"/>
      <w:lang w:val="en-US" w:eastAsia="en-US"/>
    </w:rPr>
  </w:style>
  <w:style w:type="paragraph" w:styleId="Header">
    <w:name w:val="header"/>
    <w:basedOn w:val="Normal"/>
    <w:link w:val="HeaderChar"/>
    <w:uiPriority w:val="99"/>
    <w:rsid w:val="00021AD6"/>
    <w:pPr>
      <w:tabs>
        <w:tab w:val="center" w:pos="4513"/>
        <w:tab w:val="right" w:pos="9026"/>
      </w:tabs>
    </w:pPr>
  </w:style>
  <w:style w:type="character" w:customStyle="1" w:styleId="HeaderChar">
    <w:name w:val="Header Char"/>
    <w:basedOn w:val="DefaultParagraphFont"/>
    <w:link w:val="Header"/>
    <w:uiPriority w:val="99"/>
    <w:locked/>
    <w:rsid w:val="00021AD6"/>
    <w:rPr>
      <w:sz w:val="22"/>
      <w:szCs w:val="22"/>
    </w:rPr>
  </w:style>
  <w:style w:type="paragraph" w:styleId="Footer">
    <w:name w:val="footer"/>
    <w:basedOn w:val="Normal"/>
    <w:link w:val="FooterChar"/>
    <w:uiPriority w:val="99"/>
    <w:rsid w:val="00021AD6"/>
    <w:pPr>
      <w:tabs>
        <w:tab w:val="center" w:pos="4513"/>
        <w:tab w:val="right" w:pos="9026"/>
      </w:tabs>
    </w:pPr>
  </w:style>
  <w:style w:type="character" w:customStyle="1" w:styleId="FooterChar">
    <w:name w:val="Footer Char"/>
    <w:basedOn w:val="DefaultParagraphFont"/>
    <w:link w:val="Footer"/>
    <w:uiPriority w:val="99"/>
    <w:locked/>
    <w:rsid w:val="00021AD6"/>
    <w:rPr>
      <w:sz w:val="22"/>
      <w:szCs w:val="22"/>
    </w:rPr>
  </w:style>
  <w:style w:type="paragraph" w:styleId="BalloonText">
    <w:name w:val="Balloon Text"/>
    <w:basedOn w:val="Normal"/>
    <w:link w:val="BalloonTextChar"/>
    <w:uiPriority w:val="99"/>
    <w:semiHidden/>
    <w:rsid w:val="00021A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AD6"/>
    <w:rPr>
      <w:rFonts w:ascii="Tahoma" w:hAnsi="Tahoma" w:cs="Tahoma"/>
      <w:sz w:val="16"/>
      <w:szCs w:val="16"/>
    </w:rPr>
  </w:style>
  <w:style w:type="character" w:styleId="FollowedHyperlink">
    <w:name w:val="FollowedHyperlink"/>
    <w:basedOn w:val="DefaultParagraphFont"/>
    <w:uiPriority w:val="99"/>
    <w:semiHidden/>
    <w:rsid w:val="00E504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098907">
      <w:marLeft w:val="0"/>
      <w:marRight w:val="0"/>
      <w:marTop w:val="0"/>
      <w:marBottom w:val="0"/>
      <w:divBdr>
        <w:top w:val="none" w:sz="0" w:space="0" w:color="auto"/>
        <w:left w:val="none" w:sz="0" w:space="0" w:color="auto"/>
        <w:bottom w:val="none" w:sz="0" w:space="0" w:color="auto"/>
        <w:right w:val="none" w:sz="0" w:space="0" w:color="auto"/>
      </w:divBdr>
    </w:div>
    <w:div w:id="346098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cinesauthority.gov.mt/file.aspx?f=440" TargetMode="External"/><Relationship Id="rId3" Type="http://schemas.openxmlformats.org/officeDocument/2006/relationships/settings" Target="settings.xml"/><Relationship Id="rId7" Type="http://schemas.openxmlformats.org/officeDocument/2006/relationships/hyperlink" Target="http://www.ema.europa.eu/e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busuttil@drugsaleslt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2696</Characters>
  <Application>Microsoft Office Word</Application>
  <DocSecurity>0</DocSecurity>
  <Lines>22</Lines>
  <Paragraphs>6</Paragraphs>
  <ScaleCrop>false</ScaleCrop>
  <Company>Hospira, Inc.</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Hospira 5 mg/100 ml solution for infusion</dc:title>
  <dc:subject/>
  <dc:creator>Hospira User</dc:creator>
  <cp:keywords/>
  <dc:description/>
  <cp:lastModifiedBy>Francesca Schembri</cp:lastModifiedBy>
  <cp:revision>5</cp:revision>
  <cp:lastPrinted>2012-12-05T15:03:00Z</cp:lastPrinted>
  <dcterms:created xsi:type="dcterms:W3CDTF">2013-04-30T12:08:00Z</dcterms:created>
  <dcterms:modified xsi:type="dcterms:W3CDTF">2018-05-08T11:42:00Z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